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741CD">
      <w:pPr>
        <w:rPr>
          <w:rFonts w:hint="eastAsia" w:ascii="黑体" w:hAnsi="黑体" w:eastAsia="黑体"/>
          <w:sz w:val="32"/>
          <w:szCs w:val="32"/>
        </w:rPr>
      </w:pPr>
    </w:p>
    <w:p w14:paraId="1AF44B56">
      <w:pPr>
        <w:jc w:val="center"/>
        <w:rPr>
          <w:rFonts w:hint="eastAsia" w:ascii="方正小标宋_GBK" w:hAnsi="宋体" w:eastAsia="方正小标宋_GBK"/>
          <w:sz w:val="44"/>
          <w:szCs w:val="44"/>
        </w:rPr>
      </w:pPr>
    </w:p>
    <w:p w14:paraId="28FAF17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木垒哈萨克自治县幼儿园</w:t>
      </w:r>
    </w:p>
    <w:p w14:paraId="3E0D55A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09C3DE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4FF133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891187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163A3B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68D20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F1F6B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35A8E5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41377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9DC1F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CAF50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CA585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50173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3B20F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111D4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40462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7398CF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5E27C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CD616F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C3B25C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425BB8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69821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54EF36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0DDA9F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2CF1F6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EF3CF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A6FA2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7C3AA4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868D3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8855C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F3537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9929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9E64AF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2D77C65">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FCBCFD0">
      <w:r>
        <w:rPr>
          <w:rFonts w:hint="eastAsia" w:ascii="仿宋_GB2312" w:hAnsi="仿宋_GB2312" w:eastAsia="仿宋_GB2312" w:cs="仿宋_GB2312"/>
          <w:sz w:val="32"/>
          <w:szCs w:val="32"/>
        </w:rPr>
        <w:fldChar w:fldCharType="end"/>
      </w:r>
    </w:p>
    <w:p w14:paraId="68F01CFA">
      <w:pPr>
        <w:rPr>
          <w:rFonts w:ascii="仿宋_GB2312" w:eastAsia="仿宋_GB2312"/>
          <w:sz w:val="32"/>
          <w:szCs w:val="32"/>
        </w:rPr>
      </w:pPr>
      <w:r>
        <w:rPr>
          <w:rFonts w:hint="eastAsia" w:ascii="仿宋_GB2312" w:eastAsia="仿宋_GB2312"/>
          <w:sz w:val="32"/>
          <w:szCs w:val="32"/>
        </w:rPr>
        <w:br w:type="page"/>
      </w:r>
    </w:p>
    <w:p w14:paraId="5E949F6D">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6B4F510">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72A1FD5">
      <w:pPr>
        <w:ind w:firstLine="640" w:firstLineChars="200"/>
        <w:rPr>
          <w:rFonts w:ascii="仿宋_GB2312" w:eastAsia="仿宋_GB2312"/>
          <w:sz w:val="32"/>
          <w:szCs w:val="32"/>
        </w:rPr>
      </w:pPr>
      <w:r>
        <w:rPr>
          <w:rFonts w:hint="eastAsia" w:ascii="仿宋_GB2312" w:eastAsia="仿宋_GB2312"/>
          <w:sz w:val="32"/>
          <w:szCs w:val="32"/>
        </w:rPr>
        <w:t>木垒哈萨克自治县幼儿园</w:t>
      </w:r>
      <w:r>
        <w:rPr>
          <w:rFonts w:hint="eastAsia" w:ascii="仿宋_GB2312" w:hAnsi="黑体" w:eastAsia="仿宋_GB2312" w:cs="宋体"/>
          <w:bCs/>
          <w:kern w:val="0"/>
          <w:sz w:val="32"/>
          <w:szCs w:val="32"/>
        </w:rPr>
        <w:t>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Pr>
          <w:rFonts w:hint="eastAsia" w:ascii="仿宋_GB2312" w:eastAsia="仿宋_GB2312"/>
          <w:sz w:val="32"/>
          <w:szCs w:val="32"/>
        </w:rPr>
        <w:t>。</w:t>
      </w:r>
    </w:p>
    <w:p w14:paraId="561410FC">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ADC6EE2">
      <w:pPr>
        <w:ind w:firstLine="640" w:firstLineChars="200"/>
        <w:jc w:val="left"/>
        <w:rPr>
          <w:rFonts w:hint="eastAsia" w:ascii="仿宋_GB2312" w:hAnsi="黑体" w:eastAsia="仿宋_GB2312" w:cs="宋体"/>
          <w:bCs/>
          <w:kern w:val="0"/>
          <w:sz w:val="32"/>
          <w:szCs w:val="32"/>
        </w:rPr>
      </w:pPr>
      <w:r>
        <w:rPr>
          <w:rFonts w:hint="eastAsia" w:ascii="仿宋_GB2312" w:eastAsia="仿宋_GB2312"/>
          <w:sz w:val="32"/>
          <w:szCs w:val="32"/>
        </w:rPr>
        <w:t>木垒哈萨克自治县幼儿园2023年度，实有人数</w:t>
      </w:r>
      <w:r>
        <w:rPr>
          <w:rFonts w:hint="eastAsia" w:ascii="仿宋_GB2312" w:eastAsia="仿宋_GB2312"/>
          <w:sz w:val="32"/>
          <w:szCs w:val="32"/>
          <w:lang w:val="zh-CN"/>
        </w:rPr>
        <w:t>74</w:t>
      </w:r>
      <w:r>
        <w:rPr>
          <w:rFonts w:hint="eastAsia" w:ascii="仿宋_GB2312" w:eastAsia="仿宋_GB2312"/>
          <w:sz w:val="32"/>
          <w:szCs w:val="32"/>
        </w:rPr>
        <w:t>人，</w:t>
      </w:r>
      <w:r>
        <w:rPr>
          <w:rFonts w:hint="eastAsia" w:ascii="仿宋_GB2312" w:hAnsi="黑体" w:eastAsia="仿宋_GB2312" w:cs="宋体"/>
          <w:bCs/>
          <w:kern w:val="0"/>
          <w:sz w:val="32"/>
          <w:szCs w:val="32"/>
        </w:rPr>
        <w:t>其中：在职人员40人，离休人员0人，退休人员34人。</w:t>
      </w:r>
    </w:p>
    <w:p w14:paraId="1A1586E2">
      <w:pPr>
        <w:ind w:firstLine="640" w:firstLineChars="200"/>
        <w:rPr>
          <w:rFonts w:hint="eastAsia" w:ascii="仿宋_GB2312" w:hAnsi="黑体" w:eastAsia="仿宋_GB2312" w:cs="宋体"/>
          <w:bCs/>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单位无下属预算单位，下设4个处室，分别是：教务室、总务室、财务室、德育室。</w:t>
      </w:r>
    </w:p>
    <w:p w14:paraId="047067B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7483198">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7A38B0E">
      <w:pPr>
        <w:ind w:firstLine="640" w:firstLineChars="200"/>
        <w:jc w:val="left"/>
        <w:rPr>
          <w:rFonts w:ascii="仿宋_GB2312" w:eastAsia="仿宋_GB2312"/>
          <w:sz w:val="32"/>
          <w:szCs w:val="32"/>
        </w:rPr>
      </w:pPr>
      <w:r>
        <w:rPr>
          <w:rFonts w:hint="eastAsia" w:ascii="仿宋_GB2312" w:eastAsia="仿宋_GB2312"/>
          <w:sz w:val="32"/>
          <w:szCs w:val="32"/>
        </w:rPr>
        <w:t>2023年度收入总计953.91万元，其中：本年收入合计948.67万元，使用非财政拨款结余0.00万元，年初结转和结余5.23万元。</w:t>
      </w:r>
    </w:p>
    <w:p w14:paraId="381A7513">
      <w:pPr>
        <w:ind w:firstLine="640" w:firstLineChars="200"/>
        <w:jc w:val="left"/>
        <w:rPr>
          <w:rFonts w:ascii="仿宋_GB2312" w:eastAsia="仿宋_GB2312"/>
          <w:sz w:val="32"/>
          <w:szCs w:val="32"/>
        </w:rPr>
      </w:pPr>
      <w:r>
        <w:rPr>
          <w:rFonts w:hint="eastAsia" w:ascii="仿宋_GB2312" w:eastAsia="仿宋_GB2312"/>
          <w:sz w:val="32"/>
          <w:szCs w:val="32"/>
        </w:rPr>
        <w:t>2023年度支出总计953.91万元，其中：本年支出合计948.42万元，结余分配0.00万元，年末结转和结余5.49万元。</w:t>
      </w:r>
    </w:p>
    <w:p w14:paraId="6A0A1D56">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增加98.71万元</w:t>
      </w:r>
      <w:r>
        <w:rPr>
          <w:rFonts w:hint="eastAsia" w:ascii="仿宋_GB2312" w:eastAsia="仿宋_GB2312"/>
          <w:sz w:val="32"/>
          <w:szCs w:val="32"/>
        </w:rPr>
        <w:t>，增长11.54%，主要原因是：工资福利支出正常调整标准、调整艰苦边远地区津贴增加。</w:t>
      </w:r>
    </w:p>
    <w:p w14:paraId="2114585E">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48EC5BF">
      <w:pPr>
        <w:ind w:firstLine="640" w:firstLineChars="200"/>
        <w:jc w:val="left"/>
        <w:rPr>
          <w:rFonts w:ascii="仿宋_GB2312" w:eastAsia="仿宋_GB2312"/>
          <w:sz w:val="32"/>
          <w:szCs w:val="32"/>
        </w:rPr>
      </w:pPr>
      <w:r>
        <w:rPr>
          <w:rFonts w:hint="eastAsia" w:ascii="仿宋_GB2312" w:eastAsia="仿宋_GB2312"/>
          <w:sz w:val="32"/>
          <w:szCs w:val="32"/>
        </w:rPr>
        <w:t>本年收入948.67万元，其中：财政拨款收入</w:t>
      </w:r>
      <w:r>
        <w:rPr>
          <w:rFonts w:hint="eastAsia" w:ascii="仿宋_GB2312" w:eastAsia="仿宋_GB2312"/>
          <w:sz w:val="32"/>
          <w:szCs w:val="32"/>
          <w:lang w:val="zh-CN"/>
        </w:rPr>
        <w:t>947.86</w:t>
      </w:r>
      <w:r>
        <w:rPr>
          <w:rFonts w:hint="eastAsia" w:ascii="仿宋_GB2312" w:eastAsia="仿宋_GB2312"/>
          <w:sz w:val="32"/>
          <w:szCs w:val="32"/>
        </w:rPr>
        <w:t>万元，占</w:t>
      </w:r>
      <w:r>
        <w:rPr>
          <w:rFonts w:hint="eastAsia" w:ascii="仿宋_GB2312" w:eastAsia="仿宋_GB2312"/>
          <w:sz w:val="32"/>
          <w:szCs w:val="32"/>
          <w:lang w:val="zh-CN"/>
        </w:rPr>
        <w:t>99.91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0.81</w:t>
      </w:r>
      <w:r>
        <w:rPr>
          <w:rFonts w:hint="eastAsia" w:ascii="仿宋_GB2312" w:eastAsia="仿宋_GB2312"/>
          <w:sz w:val="32"/>
          <w:szCs w:val="32"/>
        </w:rPr>
        <w:t>万元，占</w:t>
      </w:r>
      <w:r>
        <w:rPr>
          <w:rFonts w:hint="eastAsia" w:ascii="仿宋_GB2312" w:eastAsia="仿宋_GB2312"/>
          <w:sz w:val="32"/>
          <w:szCs w:val="32"/>
          <w:lang w:val="zh-CN"/>
        </w:rPr>
        <w:t>0.09</w:t>
      </w:r>
      <w:r>
        <w:rPr>
          <w:rFonts w:hint="eastAsia" w:ascii="仿宋_GB2312" w:eastAsia="仿宋_GB2312"/>
          <w:sz w:val="32"/>
          <w:szCs w:val="32"/>
        </w:rPr>
        <w:t>%。</w:t>
      </w:r>
    </w:p>
    <w:p w14:paraId="144501B0">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65E73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本年支出948.42万元，其中：基本支出809.99万元，占85.40%；项目支出138.43万元，占14.60%；上缴上级支出0.00万元，占0.00%；经营支出0.00万元，占0.00%；对附属单位补助支出0.00万元，占0.00%。</w:t>
      </w:r>
    </w:p>
    <w:p w14:paraId="60813EE0">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956079E">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947.86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947.86</w:t>
      </w:r>
      <w:r>
        <w:rPr>
          <w:rFonts w:hint="eastAsia" w:ascii="仿宋_GB2312" w:eastAsia="仿宋_GB2312"/>
          <w:sz w:val="32"/>
          <w:szCs w:val="32"/>
        </w:rPr>
        <w:t>万元。财政拨款支出总计</w:t>
      </w:r>
      <w:r>
        <w:rPr>
          <w:rFonts w:hint="eastAsia" w:ascii="仿宋_GB2312" w:eastAsia="仿宋_GB2312"/>
          <w:sz w:val="32"/>
          <w:szCs w:val="32"/>
          <w:lang w:val="zh-CN"/>
        </w:rPr>
        <w:t>947.86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947.86</w:t>
      </w:r>
      <w:r>
        <w:rPr>
          <w:rFonts w:hint="eastAsia" w:ascii="仿宋_GB2312" w:eastAsia="仿宋_GB2312"/>
          <w:sz w:val="32"/>
          <w:szCs w:val="32"/>
        </w:rPr>
        <w:t>万元。</w:t>
      </w:r>
    </w:p>
    <w:p w14:paraId="546F15F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增加103.96万元</w:t>
      </w:r>
      <w:r>
        <w:rPr>
          <w:rFonts w:hint="eastAsia" w:ascii="仿宋_GB2312" w:eastAsia="仿宋_GB2312"/>
          <w:sz w:val="32"/>
          <w:szCs w:val="32"/>
        </w:rPr>
        <w:t>，增长12.32%,主要原因是：工资福利支出正常调整标准、调整艰苦边远地区津贴增加。与年初预算相比，年初预算数</w:t>
      </w:r>
      <w:r>
        <w:rPr>
          <w:rFonts w:hint="eastAsia" w:ascii="仿宋_GB2312" w:eastAsia="仿宋_GB2312"/>
          <w:sz w:val="32"/>
          <w:szCs w:val="32"/>
          <w:lang w:val="zh-CN"/>
        </w:rPr>
        <w:t>799.46</w:t>
      </w:r>
      <w:r>
        <w:rPr>
          <w:rFonts w:hint="eastAsia" w:ascii="仿宋_GB2312" w:eastAsia="仿宋_GB2312"/>
          <w:sz w:val="32"/>
          <w:szCs w:val="32"/>
        </w:rPr>
        <w:t>万元，决算数</w:t>
      </w:r>
      <w:r>
        <w:rPr>
          <w:rFonts w:hint="eastAsia" w:ascii="仿宋_GB2312" w:eastAsia="仿宋_GB2312"/>
          <w:sz w:val="32"/>
          <w:szCs w:val="32"/>
          <w:lang w:val="zh-CN"/>
        </w:rPr>
        <w:t>947.86</w:t>
      </w:r>
      <w:r>
        <w:rPr>
          <w:rFonts w:hint="eastAsia" w:ascii="仿宋_GB2312" w:eastAsia="仿宋_GB2312"/>
          <w:sz w:val="32"/>
          <w:szCs w:val="32"/>
        </w:rPr>
        <w:t>万元，预决算差异率18.56%，主要原因是：本年追加校园维修维护项目经费。</w:t>
      </w:r>
    </w:p>
    <w:p w14:paraId="44AB395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7C4964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BC6E8E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2023年度一般公共预算财政拨款支出947.86万元，占本年支出合计的</w:t>
      </w:r>
      <w:r>
        <w:rPr>
          <w:rFonts w:hint="eastAsia" w:ascii="仿宋_GB2312" w:eastAsia="仿宋_GB2312"/>
          <w:sz w:val="32"/>
          <w:szCs w:val="32"/>
          <w:lang w:val="zh-CN"/>
        </w:rPr>
        <w:t>99.94%</w:t>
      </w:r>
      <w:r>
        <w:rPr>
          <w:rFonts w:hint="eastAsia" w:ascii="仿宋_GB2312" w:eastAsia="仿宋_GB2312"/>
          <w:sz w:val="32"/>
          <w:szCs w:val="32"/>
        </w:rPr>
        <w:t>。与上年相比，</w:t>
      </w:r>
      <w:r>
        <w:rPr>
          <w:rFonts w:hint="eastAsia" w:ascii="仿宋_GB2312" w:eastAsia="仿宋_GB2312"/>
          <w:sz w:val="32"/>
          <w:szCs w:val="32"/>
          <w:lang w:val="zh-CN"/>
        </w:rPr>
        <w:t>增加103.96万元</w:t>
      </w:r>
      <w:r>
        <w:rPr>
          <w:rFonts w:hint="eastAsia" w:ascii="仿宋_GB2312" w:eastAsia="仿宋_GB2312"/>
          <w:sz w:val="32"/>
          <w:szCs w:val="32"/>
        </w:rPr>
        <w:t>，增长12.32%,主要原因是：工资福利支出正常调整标准、调整艰苦边远地区津贴增加。与年初预算相比，年初预算数</w:t>
      </w:r>
      <w:r>
        <w:rPr>
          <w:rFonts w:hint="eastAsia" w:ascii="仿宋_GB2312" w:eastAsia="仿宋_GB2312"/>
          <w:sz w:val="32"/>
          <w:szCs w:val="32"/>
          <w:lang w:val="zh-CN"/>
        </w:rPr>
        <w:t>799.46</w:t>
      </w:r>
      <w:r>
        <w:rPr>
          <w:rFonts w:hint="eastAsia" w:ascii="仿宋_GB2312" w:eastAsia="仿宋_GB2312"/>
          <w:sz w:val="32"/>
          <w:szCs w:val="32"/>
        </w:rPr>
        <w:t>万元，决算数</w:t>
      </w:r>
      <w:r>
        <w:rPr>
          <w:rFonts w:hint="eastAsia" w:ascii="仿宋_GB2312" w:eastAsia="仿宋_GB2312"/>
          <w:sz w:val="32"/>
          <w:szCs w:val="32"/>
          <w:lang w:val="zh-CN"/>
        </w:rPr>
        <w:t>947.86</w:t>
      </w:r>
      <w:r>
        <w:rPr>
          <w:rFonts w:hint="eastAsia" w:ascii="仿宋_GB2312" w:eastAsia="仿宋_GB2312"/>
          <w:sz w:val="32"/>
          <w:szCs w:val="32"/>
        </w:rPr>
        <w:t>万元，预决算差异率</w:t>
      </w:r>
      <w:r>
        <w:rPr>
          <w:rFonts w:hint="eastAsia" w:ascii="仿宋_GB2312" w:eastAsia="仿宋_GB2312"/>
          <w:sz w:val="32"/>
          <w:szCs w:val="32"/>
          <w:lang w:val="zh-CN"/>
        </w:rPr>
        <w:t>18.56%</w:t>
      </w:r>
      <w:r>
        <w:rPr>
          <w:rFonts w:hint="eastAsia" w:ascii="仿宋_GB2312" w:eastAsia="仿宋_GB2312"/>
          <w:sz w:val="32"/>
          <w:szCs w:val="32"/>
        </w:rPr>
        <w:t>，主要原因是：本年追加校园维修维护项目经费。</w:t>
      </w:r>
    </w:p>
    <w:p w14:paraId="28E2CE1A">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847EA0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921.35</w:t>
      </w:r>
      <w:r>
        <w:rPr>
          <w:rFonts w:ascii="仿宋_GB2312" w:eastAsia="仿宋_GB2312"/>
          <w:kern w:val="2"/>
          <w:sz w:val="32"/>
          <w:szCs w:val="32"/>
          <w:lang w:val="zh-CN"/>
        </w:rPr>
        <w:t>万元，占</w:t>
      </w:r>
      <w:r>
        <w:rPr>
          <w:rFonts w:hint="eastAsia" w:ascii="仿宋_GB2312" w:eastAsia="仿宋_GB2312"/>
          <w:kern w:val="2"/>
          <w:sz w:val="32"/>
          <w:szCs w:val="32"/>
          <w:lang w:val="zh-CN"/>
        </w:rPr>
        <w:t>97.20</w:t>
      </w:r>
      <w:r>
        <w:rPr>
          <w:rFonts w:ascii="仿宋_GB2312" w:eastAsia="仿宋_GB2312"/>
          <w:kern w:val="2"/>
          <w:sz w:val="32"/>
          <w:szCs w:val="32"/>
          <w:lang w:val="zh-CN"/>
        </w:rPr>
        <w:t>%；</w:t>
      </w:r>
    </w:p>
    <w:p w14:paraId="238BA3F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26.51</w:t>
      </w:r>
      <w:r>
        <w:rPr>
          <w:rFonts w:ascii="仿宋_GB2312" w:eastAsia="仿宋_GB2312"/>
          <w:kern w:val="2"/>
          <w:sz w:val="32"/>
          <w:szCs w:val="32"/>
          <w:lang w:val="zh-CN"/>
        </w:rPr>
        <w:t>万元，占</w:t>
      </w:r>
      <w:r>
        <w:rPr>
          <w:rFonts w:hint="eastAsia" w:ascii="仿宋_GB2312" w:eastAsia="仿宋_GB2312"/>
          <w:kern w:val="2"/>
          <w:sz w:val="32"/>
          <w:szCs w:val="32"/>
          <w:lang w:val="zh-CN"/>
        </w:rPr>
        <w:t>2.80</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69A952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3594280">
      <w:pPr>
        <w:ind w:firstLine="640" w:firstLineChars="200"/>
        <w:rPr>
          <w:rFonts w:ascii="仿宋_GB2312" w:eastAsia="仿宋_GB2312"/>
          <w:sz w:val="32"/>
          <w:szCs w:val="32"/>
        </w:rPr>
      </w:pPr>
      <w:r>
        <w:rPr>
          <w:rFonts w:hint="eastAsia" w:ascii="仿宋_GB2312" w:eastAsia="仿宋_GB2312"/>
          <w:sz w:val="32"/>
          <w:szCs w:val="32"/>
        </w:rPr>
        <w:t>1.社会保障和就业支出（类）抚恤（款）死亡抚恤（项）:支出决算数为8.70万元，比上年决算减少6.81万元，下降43.9</w:t>
      </w:r>
      <w:r>
        <w:rPr>
          <w:rFonts w:hint="eastAsia" w:ascii="仿宋_GB2312" w:eastAsia="仿宋_GB2312"/>
          <w:sz w:val="32"/>
          <w:szCs w:val="32"/>
          <w:lang w:val="en-US" w:eastAsia="zh-CN"/>
        </w:rPr>
        <w:t>1</w:t>
      </w:r>
      <w:r>
        <w:rPr>
          <w:rFonts w:hint="eastAsia" w:ascii="仿宋_GB2312" w:eastAsia="仿宋_GB2312"/>
          <w:sz w:val="32"/>
          <w:szCs w:val="32"/>
        </w:rPr>
        <w:t>%，主要原因是：死亡人员减少，相应抚恤金减少。</w:t>
      </w:r>
    </w:p>
    <w:p w14:paraId="725904F5">
      <w:pPr>
        <w:ind w:firstLine="640" w:firstLineChars="200"/>
        <w:rPr>
          <w:rFonts w:ascii="仿宋_GB2312" w:eastAsia="仿宋_GB2312"/>
          <w:sz w:val="32"/>
          <w:szCs w:val="32"/>
        </w:rPr>
      </w:pPr>
      <w:r>
        <w:rPr>
          <w:rFonts w:hint="eastAsia" w:ascii="仿宋_GB2312" w:eastAsia="仿宋_GB2312"/>
          <w:sz w:val="32"/>
          <w:szCs w:val="32"/>
        </w:rPr>
        <w:t>2.社会保障和就业支出（类）行政事业单位养老支出（款）事业单位离退休（项）:支出决算数为11.28万元，比上年决算增加6.29万元，增长126.0</w:t>
      </w:r>
      <w:r>
        <w:rPr>
          <w:rFonts w:hint="eastAsia" w:ascii="仿宋_GB2312" w:eastAsia="仿宋_GB2312"/>
          <w:sz w:val="32"/>
          <w:szCs w:val="32"/>
          <w:lang w:val="en-US" w:eastAsia="zh-CN"/>
        </w:rPr>
        <w:t>5</w:t>
      </w:r>
      <w:r>
        <w:rPr>
          <w:rFonts w:hint="eastAsia" w:ascii="仿宋_GB2312" w:eastAsia="仿宋_GB2312"/>
          <w:sz w:val="32"/>
          <w:szCs w:val="32"/>
        </w:rPr>
        <w:t>%，主要原因是：退休人员绩效奖增加。</w:t>
      </w:r>
    </w:p>
    <w:p w14:paraId="5C2030C0">
      <w:pPr>
        <w:ind w:firstLine="640" w:firstLineChars="200"/>
        <w:rPr>
          <w:rFonts w:ascii="仿宋_GB2312" w:eastAsia="仿宋_GB2312"/>
          <w:sz w:val="32"/>
          <w:szCs w:val="32"/>
        </w:rPr>
      </w:pPr>
      <w:r>
        <w:rPr>
          <w:rFonts w:hint="eastAsia" w:ascii="仿宋_GB2312" w:eastAsia="仿宋_GB2312"/>
          <w:sz w:val="32"/>
          <w:szCs w:val="32"/>
        </w:rPr>
        <w:t>3.教育支出（类）普通教育（款）学前教育（项）:支出决算数为921.35万元，比上年决算增加97.95万元，增长11.90%，主要原因是：工资福利支出正常调整标准、调整艰苦边远地区津贴增加。</w:t>
      </w:r>
    </w:p>
    <w:p w14:paraId="59FB186E">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4.社会保障和就业支出（类）行政事业单位养老支出（款）机关事业单位职业年金缴费支出（项）:支出决算数为6.53万元，比上年决算增加6.53万元，增长100%，主要原因是：</w:t>
      </w:r>
      <w:r>
        <w:rPr>
          <w:rFonts w:hint="eastAsia" w:eastAsia="仿宋_GB2312"/>
          <w:sz w:val="32"/>
          <w:szCs w:val="32"/>
        </w:rPr>
        <w:t>退休人员增加，一次性职业年金支出增加</w:t>
      </w:r>
      <w:r>
        <w:rPr>
          <w:rFonts w:hint="eastAsia" w:ascii="仿宋_GB2312" w:eastAsia="仿宋_GB2312"/>
          <w:sz w:val="32"/>
          <w:szCs w:val="32"/>
        </w:rPr>
        <w:t>。</w:t>
      </w:r>
    </w:p>
    <w:p w14:paraId="10E5164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F94148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809.43万元，其中：人员经费805.24万元，包括：基本工资、津贴补贴、奖金、机关事业单位基本养老保险缴费、职业年金缴费、职工基本医疗保险缴费、其他社会保障缴费、住房公积金、退休费、抚恤金、奖励金、其他对个人和家庭的补助。</w:t>
      </w:r>
    </w:p>
    <w:p w14:paraId="0E150F85">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公用经费4.18万元，包括：水费、电费、邮电费、取暖费。</w:t>
      </w:r>
    </w:p>
    <w:p w14:paraId="59011EC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B05D03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14:paraId="4911C2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967E6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14:paraId="3203D98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8BC0B7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14:paraId="4111D49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14:paraId="64165DD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9283F07">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500D44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BB89C2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A04383F">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EEEA74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494E35A">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2023年度木垒哈萨克自治县幼儿园（事业单位）公用经费支出4.18万元，比上年增加2.31万元，增长123.53%，主要原因是：单位本年校园维修</w:t>
      </w:r>
      <w:r>
        <w:rPr>
          <w:rFonts w:hint="eastAsia" w:ascii="仿宋_GB2312" w:eastAsia="仿宋_GB2312"/>
          <w:sz w:val="32"/>
          <w:szCs w:val="32"/>
        </w:rPr>
        <w:t>水费、电费、取暖费</w:t>
      </w:r>
      <w:r>
        <w:rPr>
          <w:rFonts w:hint="eastAsia" w:ascii="仿宋_GB2312" w:eastAsia="仿宋_GB2312"/>
          <w:sz w:val="32"/>
          <w:szCs w:val="32"/>
          <w:lang w:val="zh-CN"/>
        </w:rPr>
        <w:t>增加。</w:t>
      </w:r>
    </w:p>
    <w:p w14:paraId="6EE2DE5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077B57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2023年度政府采购支出总额8.59万元，其中：政府采购货物支出6.91万元、政府采购工程支出0.44万元、政府采购服务支出1.2</w:t>
      </w:r>
      <w:r>
        <w:rPr>
          <w:rFonts w:hint="eastAsia" w:ascii="仿宋_GB2312" w:eastAsia="仿宋_GB2312"/>
          <w:sz w:val="32"/>
          <w:szCs w:val="32"/>
          <w:lang w:val="en-US" w:eastAsia="zh-CN"/>
        </w:rPr>
        <w:t>5</w:t>
      </w:r>
      <w:bookmarkStart w:id="48" w:name="_GoBack"/>
      <w:bookmarkEnd w:id="48"/>
      <w:r>
        <w:rPr>
          <w:rFonts w:hint="eastAsia" w:ascii="仿宋_GB2312" w:eastAsia="仿宋_GB2312"/>
          <w:sz w:val="32"/>
          <w:szCs w:val="32"/>
          <w:lang w:val="zh-CN"/>
        </w:rPr>
        <w:t>万元。</w:t>
      </w:r>
    </w:p>
    <w:p w14:paraId="5B79BA1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授予中小企业合同金额8.59万元，占政府采购支出总额的100.00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，其中：授予小微企业合同金额8.59万元，占政府采购支出总额的100.00</w:t>
      </w:r>
      <w:r>
        <w:rPr>
          <w:rFonts w:ascii="仿宋_GB2312" w:eastAsia="仿宋_GB2312"/>
          <w:sz w:val="32"/>
          <w:szCs w:val="32"/>
          <w:lang w:val="zh-CN"/>
        </w:rPr>
        <w:t>%</w:t>
      </w:r>
      <w:r>
        <w:rPr>
          <w:rFonts w:hint="eastAsia" w:ascii="仿宋_GB2312" w:eastAsia="仿宋_GB2312"/>
          <w:sz w:val="32"/>
          <w:szCs w:val="32"/>
          <w:lang w:val="zh-CN"/>
        </w:rPr>
        <w:t>。</w:t>
      </w:r>
    </w:p>
    <w:p w14:paraId="67E5346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F1980F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754.05万元，房屋3,983.70平方米，价值547.70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7076044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A8F3BF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953.91</w:t>
      </w:r>
      <w:r>
        <w:rPr>
          <w:rFonts w:hint="eastAsia" w:ascii="仿宋_GB2312" w:eastAsia="仿宋_GB2312"/>
          <w:sz w:val="32"/>
          <w:szCs w:val="32"/>
        </w:rPr>
        <w:t>万元，实际执行总额</w:t>
      </w:r>
      <w:r>
        <w:rPr>
          <w:rFonts w:ascii="仿宋_GB2312" w:eastAsia="仿宋_GB2312"/>
          <w:sz w:val="32"/>
          <w:szCs w:val="32"/>
        </w:rPr>
        <w:t>948.42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结合我校实际情合理分配资金，以达到合理高效地运用资金、提升资金的产出效果、节约成本与资源、提高部门的办事效率的目的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未定期或者不定期对资产进行盘点、对账。出现资产盘盈盘亏，报废的因各种原因未及时做资产减少，出现账实不符和账账不符的现象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从取得到退出的全过程实施动态管理；应当定期或者不定期对资产进行盘点、对账应当按照财务、会计和资产管理制度有关规定处理，资产管理要做到四相符：账表相符、账账相符、帐卡相符、账实相符</w:t>
      </w:r>
      <w:r>
        <w:rPr>
          <w:rFonts w:hint="eastAsia" w:ascii="仿宋_GB2312" w:eastAsia="仿宋_GB2312"/>
          <w:sz w:val="32"/>
          <w:szCs w:val="32"/>
        </w:rPr>
        <w:t>。具体项目自评情况附绩效自评表及自评报告。</w:t>
      </w:r>
    </w:p>
    <w:tbl>
      <w:tblPr>
        <w:tblStyle w:val="9"/>
        <w:tblW w:w="8717" w:type="dxa"/>
        <w:tblInd w:w="93" w:type="dxa"/>
        <w:tblLayout w:type="autofit"/>
        <w:tblCellMar>
          <w:top w:w="0" w:type="dxa"/>
          <w:left w:w="108" w:type="dxa"/>
          <w:bottom w:w="0" w:type="dxa"/>
          <w:right w:w="108" w:type="dxa"/>
        </w:tblCellMar>
      </w:tblPr>
      <w:tblGrid>
        <w:gridCol w:w="1816"/>
        <w:gridCol w:w="1305"/>
        <w:gridCol w:w="1017"/>
        <w:gridCol w:w="1173"/>
        <w:gridCol w:w="1229"/>
        <w:gridCol w:w="707"/>
        <w:gridCol w:w="885"/>
        <w:gridCol w:w="585"/>
      </w:tblGrid>
      <w:tr w14:paraId="7A247FB0">
        <w:tblPrEx>
          <w:tblCellMar>
            <w:top w:w="0" w:type="dxa"/>
            <w:left w:w="108" w:type="dxa"/>
            <w:bottom w:w="0" w:type="dxa"/>
            <w:right w:w="108" w:type="dxa"/>
          </w:tblCellMar>
        </w:tblPrEx>
        <w:trPr>
          <w:trHeight w:val="522" w:hRule="atLeast"/>
        </w:trPr>
        <w:tc>
          <w:tcPr>
            <w:tcW w:w="871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091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部门（单位）整体支出绩效目标自评表</w:t>
            </w:r>
          </w:p>
        </w:tc>
      </w:tr>
      <w:tr w14:paraId="69C0112F">
        <w:tblPrEx>
          <w:tblCellMar>
            <w:top w:w="0" w:type="dxa"/>
            <w:left w:w="108" w:type="dxa"/>
            <w:bottom w:w="0" w:type="dxa"/>
            <w:right w:w="108" w:type="dxa"/>
          </w:tblCellMar>
        </w:tblPrEx>
        <w:trPr>
          <w:trHeight w:val="36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3813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（2023年度）</w:t>
            </w:r>
          </w:p>
        </w:tc>
      </w:tr>
      <w:tr w14:paraId="23AC4BB3">
        <w:tblPrEx>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36D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2FE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木垒哈萨克自治县三明双语幼儿园</w:t>
            </w:r>
          </w:p>
        </w:tc>
      </w:tr>
      <w:tr w14:paraId="0DB1CD2F">
        <w:tblPrEx>
          <w:tblCellMar>
            <w:top w:w="0" w:type="dxa"/>
            <w:left w:w="108" w:type="dxa"/>
            <w:bottom w:w="0" w:type="dxa"/>
            <w:right w:w="108" w:type="dxa"/>
          </w:tblCellMar>
        </w:tblPrEx>
        <w:trPr>
          <w:trHeight w:val="570"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E0D94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部门资金（万元）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C956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资金来源</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0F4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年初预算数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94A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全年预算数</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8D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全年执行数</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088B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A4A9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执行率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83A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24047D22">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93A3F">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693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中央安排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E27C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806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F80E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F79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B95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160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2A1CBE98">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1477C">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3A7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自治区安排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08A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29.36</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E66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37.73</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F67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37.73</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54A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61B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41F9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6E69E598">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8A5C9">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DE5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地（州、市）安排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C28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E37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D6DB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105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8301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B16E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41213F07">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9DDF8">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66B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县（市、区）安排</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121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770.10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91DB">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916.18</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83C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910.69</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67FF">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8165">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DEC7">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1BB9C5D5">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BB501">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BA97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其他资金</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829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835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515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0.00</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462E">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728F4">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F51A">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13D5B32A">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7389F">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071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合计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340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799.46</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5EA9A">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953.91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5F72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948.42</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771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39FD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8104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6E48CEF1">
        <w:tblPrEx>
          <w:tblCellMar>
            <w:top w:w="0" w:type="dxa"/>
            <w:left w:w="108" w:type="dxa"/>
            <w:bottom w:w="0" w:type="dxa"/>
            <w:right w:w="108" w:type="dxa"/>
          </w:tblCellMar>
        </w:tblPrEx>
        <w:trPr>
          <w:trHeight w:val="705"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7024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94E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D2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实际完成情况</w:t>
            </w:r>
          </w:p>
        </w:tc>
      </w:tr>
      <w:tr w14:paraId="5E00E120">
        <w:tblPrEx>
          <w:tblCellMar>
            <w:top w:w="0" w:type="dxa"/>
            <w:left w:w="108" w:type="dxa"/>
            <w:bottom w:w="0" w:type="dxa"/>
            <w:right w:w="108" w:type="dxa"/>
          </w:tblCellMar>
        </w:tblPrEx>
        <w:trPr>
          <w:trHeight w:val="660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7EE35">
            <w:pPr>
              <w:jc w:val="center"/>
              <w:rPr>
                <w:rFonts w:hint="eastAsia" w:cs="宋体" w:asciiTheme="minorEastAsia" w:hAnsiTheme="minorEastAsia" w:eastAsiaTheme="minorEastAsia"/>
                <w:color w:val="000000"/>
                <w:sz w:val="20"/>
                <w:szCs w:val="20"/>
              </w:rPr>
            </w:pP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BA4E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目标1：宣传贯彻执行党和国家的教育方针、政策、法律法规等坚持依法执教、依法治学，贯彻执行县教育局的行政规章制度；目标2：组织开展本园的教育教学改革，全力推进素质教育实施；目标3：按照学前教育课程计划，开齐课程，开足课时，认真实施学前的教育教学管理，全面推进学前教育，全面提高教育教学质量； 目标4：负责本园财务管理，筹措资金，改善办学条件等工作； 目标5：及时、足额的发放在职职工工资、缴纳社保等人员经费、离退休人员交通费、独生子女奖励金、保障幼儿园的正常运行。</w:t>
            </w:r>
          </w:p>
        </w:tc>
        <w:tc>
          <w:tcPr>
            <w:tcW w:w="34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5FB07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 xml:space="preserve">我单位通过加强预算收支管理，不断建立健全内部管理制度，梳理内部管理流程，部门整体支出管理情况得到提升。我单位2023年部门单位预算执行率100%，部门整体绩效目标共设置一级指标6个，二级指标6个，三级指标9个，其中已完成三级指标9个，履职效能方面，我单位完成了全园323名幼儿均享受学前教育资助政策，2023年，幼儿园辖区内满3岁儿童和残疾儿童入园率100%，实现应入尽入。建立了学籍档案，实行班级考勤制度，323名幼儿无辍学情况。 </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 xml:space="preserve">加强联盟共建，做好幼小衔接，提升保教质量制定落实联盟工作计划，落实联盟各项工作。与南平市实验幼儿园结对共建，开展“开放共融，携手同行”线上交流研讨活动，分享优质资源，促进两地交往、交流、交融。与昌吉州实验幼儿园签订结对帮扶协议，选派18名教师赴州实验幼儿园跟岗学习，不断提升教师队伍专业能力。做好与州实幼及下属三级联盟幼儿园之间的纵向联动，促进保教质量提升，推动联盟均衡发展。加强幼儿园与小学的科学双向衔接，分别与县一小和三小联合开展联动教研活动，加强幼小沟通交流，努力减缓学段间的坡度，切实有效做好幼小衔接工作。做好家园共育工作，通过家长学校召开家长会7次，开展《家庭教育促进法》解读和“书记园长讲资助”活动，加强家园互动交流，促进幼儿健康发展。 </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 xml:space="preserve">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的目的。在部门预算整体支出绩效方面都按规定严格执行，合理安排支出，使财政资金发挥出最大的效益。 </w:t>
            </w:r>
            <w:r>
              <w:rPr>
                <w:rFonts w:hint="eastAsia" w:cs="宋体" w:asciiTheme="minorEastAsia" w:hAnsiTheme="minorEastAsia" w:eastAsiaTheme="minorEastAsia"/>
                <w:color w:val="000000"/>
                <w:kern w:val="0"/>
                <w:sz w:val="20"/>
                <w:szCs w:val="20"/>
                <w:lang w:bidi="ar"/>
              </w:rPr>
              <w:br w:type="textWrapping"/>
            </w:r>
            <w:r>
              <w:rPr>
                <w:rFonts w:hint="eastAsia" w:cs="宋体" w:asciiTheme="minorEastAsia" w:hAnsiTheme="minorEastAsia" w:eastAsiaTheme="minorEastAsia"/>
                <w:color w:val="000000"/>
                <w:kern w:val="0"/>
                <w:sz w:val="20"/>
                <w:szCs w:val="20"/>
                <w:lang w:bidi="ar"/>
              </w:rPr>
              <w:t>本单位2023年度部门整体支出绩效完成情况良好。</w:t>
            </w:r>
          </w:p>
        </w:tc>
      </w:tr>
      <w:tr w14:paraId="1E683781">
        <w:tblPrEx>
          <w:tblCellMar>
            <w:top w:w="0" w:type="dxa"/>
            <w:left w:w="108" w:type="dxa"/>
            <w:bottom w:w="0" w:type="dxa"/>
            <w:right w:w="108" w:type="dxa"/>
          </w:tblCellMar>
        </w:tblPrEx>
        <w:trPr>
          <w:trHeight w:val="58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6F0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2B2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34F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C1F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预期指标值</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E8D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指标值设定依据</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9698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24FB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实际完成指标值</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DF2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0E2B0658">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6180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运行成本</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44E9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910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保障幼儿园办公人员数量</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BC4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&gt;=40人</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3B9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木垒县幼儿园机构改革方案</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12B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36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40人</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BB5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5</w:t>
            </w:r>
          </w:p>
        </w:tc>
      </w:tr>
      <w:tr w14:paraId="52120752">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11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管理效率</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A3438">
            <w:pPr>
              <w:jc w:val="center"/>
              <w:rPr>
                <w:rFonts w:hint="eastAsia" w:cs="宋体" w:asciiTheme="minorEastAsia" w:hAnsiTheme="minorEastAsia" w:eastAsiaTheme="minorEastAsia"/>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FF7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保障学前三年适龄幼儿人数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52A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&gt;=350人</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936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木垒县幼儿园2023年教学工作计划及幼儿学籍管理</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90A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D9C3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350人</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1CD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7D174D77">
        <w:tblPrEx>
          <w:tblCellMar>
            <w:top w:w="0" w:type="dxa"/>
            <w:left w:w="108" w:type="dxa"/>
            <w:bottom w:w="0" w:type="dxa"/>
            <w:right w:w="108" w:type="dxa"/>
          </w:tblCellMar>
        </w:tblPrEx>
        <w:trPr>
          <w:trHeight w:val="740"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AFBCD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履职效能</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D4F9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1D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教师培训参培率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FF34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7F4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木垒县幼儿园2023年教学工作计划及培训考勤</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2845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633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F0E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5B34DEBB">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3CAFD">
            <w:pPr>
              <w:jc w:val="center"/>
              <w:rPr>
                <w:rFonts w:hint="eastAsia" w:cs="宋体" w:asciiTheme="minorEastAsia" w:hAnsiTheme="minorEastAsia" w:eastAsiaTheme="minorEastAsia"/>
                <w:color w:val="000000"/>
                <w:sz w:val="20"/>
                <w:szCs w:val="20"/>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F1005">
            <w:pPr>
              <w:jc w:val="center"/>
              <w:rPr>
                <w:rFonts w:hint="eastAsia" w:cs="宋体" w:asciiTheme="minorEastAsia" w:hAnsiTheme="minorEastAsia" w:eastAsiaTheme="minorEastAsia"/>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66DE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幼儿出勤率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135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695D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木垒县幼儿园2023年教学工作计划及幼儿考勤</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63D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4B2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517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42671E58">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1A03A">
            <w:pPr>
              <w:jc w:val="center"/>
              <w:rPr>
                <w:rFonts w:hint="eastAsia" w:cs="宋体" w:asciiTheme="minorEastAsia" w:hAnsiTheme="minorEastAsia" w:eastAsiaTheme="minorEastAsia"/>
                <w:color w:val="000000"/>
                <w:sz w:val="20"/>
                <w:szCs w:val="20"/>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C80F3">
            <w:pPr>
              <w:jc w:val="center"/>
              <w:rPr>
                <w:rFonts w:hint="eastAsia" w:cs="宋体" w:asciiTheme="minorEastAsia" w:hAnsiTheme="minorEastAsia" w:eastAsiaTheme="minorEastAsia"/>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C6B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幼儿伙食保障率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200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289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木垒县幼儿园2023年教育资助扶贫计划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774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EF2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927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1B567923">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3E46C">
            <w:pPr>
              <w:jc w:val="center"/>
              <w:rPr>
                <w:rFonts w:hint="eastAsia" w:cs="宋体" w:asciiTheme="minorEastAsia" w:hAnsiTheme="minorEastAsia" w:eastAsiaTheme="minorEastAsia"/>
                <w:color w:val="000000"/>
                <w:sz w:val="20"/>
                <w:szCs w:val="20"/>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EBD8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CA0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教师各类培训及学习次数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803E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&gt;=10次</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5F7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木垒县幼儿园2023年教育教学工作计划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ABC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DC4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C55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4DED57B4">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1FCD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社会效益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CF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社会效益指标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C9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受益学生人数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922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&gt;=350人</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E65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2023年幼儿园扶贫计划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815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58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350人</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5A1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03EABA20">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753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可持续发展能力</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0A1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可持续影响指标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985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持续改善办学条件，提高幼儿园竞争力和办学能力，促进幼儿园可持续发展</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9A0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=1年</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75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木垒县幼儿园2023年工作计划</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EA3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C6A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1年</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AE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15</w:t>
            </w:r>
          </w:p>
        </w:tc>
      </w:tr>
      <w:tr w14:paraId="677B8F03">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30BA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服务对象满意度</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0D8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FA4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家长满意度</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024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50F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木垒县幼儿园2023年满意度测评</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CE0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C83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C1EE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bl>
    <w:p w14:paraId="73D2F6C0">
      <w:pPr>
        <w:ind w:firstLine="640" w:firstLineChars="200"/>
        <w:jc w:val="left"/>
        <w:rPr>
          <w:rFonts w:ascii="仿宋_GB2312" w:eastAsia="仿宋_GB2312"/>
          <w:sz w:val="32"/>
          <w:szCs w:val="32"/>
        </w:rPr>
      </w:pPr>
    </w:p>
    <w:p w14:paraId="5B30128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E4496A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1710ABE">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8B5F4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774147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B424F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9FD6B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A02C4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73EE5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30981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EAEC2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5A4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929EAC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81FFC5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E1FF2E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AB6D10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7DC11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D65C7D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4AFF17F">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CD07B1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50FE98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E7F4373">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34B775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12DC894">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474A14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95C97AF">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033DB7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076EAE6">
      <w:pPr>
        <w:ind w:firstLine="640" w:firstLineChars="200"/>
        <w:rPr>
          <w:rFonts w:ascii="仿宋_GB2312" w:eastAsia="仿宋_GB2312"/>
          <w:sz w:val="32"/>
          <w:szCs w:val="32"/>
        </w:rPr>
      </w:pPr>
    </w:p>
    <w:p w14:paraId="2D1E59C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CE3D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813F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E3813F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9240C"/>
    <w:rsid w:val="0006265C"/>
    <w:rsid w:val="000A263C"/>
    <w:rsid w:val="0010563E"/>
    <w:rsid w:val="00213C59"/>
    <w:rsid w:val="002246EF"/>
    <w:rsid w:val="003210CE"/>
    <w:rsid w:val="005A120B"/>
    <w:rsid w:val="00752F88"/>
    <w:rsid w:val="00782776"/>
    <w:rsid w:val="007D510B"/>
    <w:rsid w:val="0099240C"/>
    <w:rsid w:val="00AE3C32"/>
    <w:rsid w:val="00B46CFD"/>
    <w:rsid w:val="00B70D59"/>
    <w:rsid w:val="00BD3D1F"/>
    <w:rsid w:val="00BF05F1"/>
    <w:rsid w:val="00C6061D"/>
    <w:rsid w:val="00C6420D"/>
    <w:rsid w:val="00C67521"/>
    <w:rsid w:val="00CC311A"/>
    <w:rsid w:val="00CD67F2"/>
    <w:rsid w:val="00D11F5D"/>
    <w:rsid w:val="00DA1241"/>
    <w:rsid w:val="00DD4B35"/>
    <w:rsid w:val="00F03AD8"/>
    <w:rsid w:val="00F52A8D"/>
    <w:rsid w:val="00F63CE3"/>
    <w:rsid w:val="00FE425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33B8B"/>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5366</Words>
  <Characters>6085</Characters>
  <Lines>59</Lines>
  <Paragraphs>16</Paragraphs>
  <TotalTime>30</TotalTime>
  <ScaleCrop>false</ScaleCrop>
  <LinksUpToDate>false</LinksUpToDate>
  <CharactersWithSpaces>6098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2024-11-12T11:03:38Z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